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SCHEDA PER L'INDIVIDUAZIONE DEI</w:t>
      </w:r>
      <w:r w:rsidR="00600E6C">
        <w:rPr>
          <w:rFonts w:ascii="Times New Roman" w:eastAsia="Times New Roman" w:hAnsi="Times New Roman"/>
          <w:sz w:val="21"/>
          <w:szCs w:val="21"/>
          <w:lang w:eastAsia="it-IT"/>
        </w:rPr>
        <w:t xml:space="preserve"> DOCENTI SOPRANNUMERARI A.S. 2020/2021</w:t>
      </w:r>
    </w:p>
    <w:p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w:t>
      </w:r>
      <w:proofErr w:type="spellEnd"/>
      <w:r w:rsidRPr="00743EBC">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743EBC">
        <w:rPr>
          <w:sz w:val="18"/>
          <w:szCs w:val="18"/>
        </w:rPr>
        <w:t>pre</w:t>
      </w:r>
      <w:proofErr w:type="spellEnd"/>
      <w:r w:rsidRPr="00743EBC">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w:t>
      </w:r>
      <w:proofErr w:type="spellEnd"/>
      <w:r w:rsidRPr="00743EBC">
        <w:rPr>
          <w:spacing w:val="-2"/>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w:t>
      </w:r>
      <w:proofErr w:type="spellEnd"/>
      <w:r w:rsidRPr="00743EBC">
        <w:rPr>
          <w:sz w:val="18"/>
          <w:szCs w:val="18"/>
        </w:rPr>
        <w:t>-ruolo,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w:t>
      </w:r>
      <w:proofErr w:type="spellEnd"/>
      <w:r w:rsidRPr="00743EBC">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w:t>
      </w:r>
      <w:proofErr w:type="spellEnd"/>
      <w:r w:rsidRPr="00743EBC">
        <w:rPr>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743EBC">
        <w:rPr>
          <w:sz w:val="18"/>
          <w:szCs w:val="18"/>
        </w:rPr>
        <w:t>dall’a.s.</w:t>
      </w:r>
      <w:proofErr w:type="spellEnd"/>
      <w:r w:rsidRPr="00743EBC">
        <w:rPr>
          <w:sz w:val="18"/>
          <w:szCs w:val="18"/>
        </w:rPr>
        <w:t xml:space="preserve">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w:t>
      </w:r>
      <w:proofErr w:type="spellEnd"/>
      <w:r w:rsidRPr="00743EBC">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A96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303"/>
    <w:rsid w:val="000849B4"/>
    <w:rsid w:val="00234ED3"/>
    <w:rsid w:val="00301AB0"/>
    <w:rsid w:val="00340E19"/>
    <w:rsid w:val="003F1E85"/>
    <w:rsid w:val="005C693E"/>
    <w:rsid w:val="00600E6C"/>
    <w:rsid w:val="00624303"/>
    <w:rsid w:val="00670EE4"/>
    <w:rsid w:val="007E5047"/>
    <w:rsid w:val="008F0965"/>
    <w:rsid w:val="008F25BF"/>
    <w:rsid w:val="0094538D"/>
    <w:rsid w:val="00A30EC6"/>
    <w:rsid w:val="00A71B6B"/>
    <w:rsid w:val="00A74E93"/>
    <w:rsid w:val="00A96FA6"/>
    <w:rsid w:val="00C83212"/>
    <w:rsid w:val="00D76781"/>
    <w:rsid w:val="00D9393E"/>
    <w:rsid w:val="00DE6BAC"/>
    <w:rsid w:val="00F71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3CB5CCE-0E15-479A-A6FB-5B2C91B0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600E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E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7837</Words>
  <Characters>44674</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Lina Greco Ercolino</cp:lastModifiedBy>
  <cp:revision>2</cp:revision>
  <cp:lastPrinted>2020-03-02T10:36:00Z</cp:lastPrinted>
  <dcterms:created xsi:type="dcterms:W3CDTF">2020-03-30T16:35:00Z</dcterms:created>
  <dcterms:modified xsi:type="dcterms:W3CDTF">2020-03-30T16:35:00Z</dcterms:modified>
</cp:coreProperties>
</file>